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Paymentus Holdings, Inc.</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226060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3700" w:type="dxa"/>
            <w:vAlign w:val="bottom"/>
          </w:tcPr>
          <w:p>
            <w:pPr>
              <w:jc w:val="center"/>
              <w:ind w:right="342"/>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1264"/>
              <w:spacing w:after="0"/>
              <w:rPr>
                <w:sz w:val="20"/>
                <w:szCs w:val="20"/>
                <w:color w:val="auto"/>
              </w:rPr>
            </w:pPr>
            <w:r>
              <w:rPr>
                <w:rFonts w:ascii="Arial" w:cs="Arial" w:eastAsia="Arial" w:hAnsi="Arial"/>
                <w:sz w:val="18"/>
                <w:szCs w:val="18"/>
                <w:b w:val="1"/>
                <w:bCs w:val="1"/>
                <w:color w:val="auto"/>
              </w:rPr>
              <w:t>001-40429</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45-3188251</w:t>
            </w:r>
          </w:p>
        </w:tc>
      </w:tr>
      <w:tr>
        <w:trPr>
          <w:trHeight w:val="135"/>
        </w:trPr>
        <w:tc>
          <w:tcPr>
            <w:tcW w:w="3700" w:type="dxa"/>
            <w:vAlign w:val="bottom"/>
          </w:tcPr>
          <w:p>
            <w:pPr>
              <w:jc w:val="center"/>
              <w:ind w:right="342"/>
              <w:spacing w:after="0" w:line="135" w:lineRule="exact"/>
              <w:rPr>
                <w:sz w:val="20"/>
                <w:szCs w:val="20"/>
                <w:color w:val="auto"/>
              </w:rPr>
            </w:pPr>
            <w:r>
              <w:rPr>
                <w:rFonts w:ascii="Arial" w:cs="Arial" w:eastAsia="Arial" w:hAnsi="Arial"/>
                <w:sz w:val="13"/>
                <w:szCs w:val="13"/>
                <w:b w:val="1"/>
                <w:bCs w:val="1"/>
                <w:color w:val="auto"/>
                <w:w w:val="97"/>
              </w:rPr>
              <w:t>(State or Other Jurisdiction</w:t>
            </w:r>
          </w:p>
        </w:tc>
        <w:tc>
          <w:tcPr>
            <w:tcW w:w="3040" w:type="dxa"/>
            <w:vAlign w:val="bottom"/>
          </w:tcPr>
          <w:p>
            <w:pPr>
              <w:jc w:val="center"/>
              <w:ind w:right="404"/>
              <w:spacing w:after="0" w:line="135" w:lineRule="exact"/>
              <w:rPr>
                <w:sz w:val="20"/>
                <w:szCs w:val="20"/>
                <w:color w:val="auto"/>
              </w:rPr>
            </w:pPr>
            <w:r>
              <w:rPr>
                <w:rFonts w:ascii="Arial" w:cs="Arial" w:eastAsia="Arial" w:hAnsi="Arial"/>
                <w:sz w:val="13"/>
                <w:szCs w:val="13"/>
                <w:b w:val="1"/>
                <w:bCs w:val="1"/>
                <w:color w:val="auto"/>
                <w:w w:val="96"/>
              </w:rPr>
              <w:t>(Commission File Number)</w:t>
            </w:r>
          </w:p>
        </w:tc>
        <w:tc>
          <w:tcPr>
            <w:tcW w:w="2060" w:type="dxa"/>
            <w:vAlign w:val="bottom"/>
          </w:tcPr>
          <w:p>
            <w:pPr>
              <w:jc w:val="center"/>
              <w:ind w:left="88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3700" w:type="dxa"/>
            <w:vAlign w:val="bottom"/>
          </w:tcPr>
          <w:p>
            <w:pPr>
              <w:jc w:val="center"/>
              <w:ind w:right="342"/>
              <w:spacing w:after="0"/>
              <w:rPr>
                <w:sz w:val="20"/>
                <w:szCs w:val="20"/>
                <w:color w:val="auto"/>
              </w:rPr>
            </w:pPr>
            <w:r>
              <w:rPr>
                <w:rFonts w:ascii="Arial" w:cs="Arial" w:eastAsia="Arial" w:hAnsi="Arial"/>
                <w:sz w:val="13"/>
                <w:szCs w:val="13"/>
                <w:b w:val="1"/>
                <w:bCs w:val="1"/>
                <w:color w:val="auto"/>
                <w:w w:val="96"/>
              </w:rPr>
              <w:t>of Incorporation)</w:t>
            </w:r>
          </w:p>
        </w:tc>
        <w:tc>
          <w:tcPr>
            <w:tcW w:w="304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367"/>
        </w:trPr>
        <w:tc>
          <w:tcPr>
            <w:tcW w:w="3700" w:type="dxa"/>
            <w:vAlign w:val="bottom"/>
          </w:tcPr>
          <w:p>
            <w:pPr>
              <w:jc w:val="center"/>
              <w:ind w:right="402"/>
              <w:spacing w:after="0"/>
              <w:rPr>
                <w:sz w:val="20"/>
                <w:szCs w:val="20"/>
                <w:color w:val="auto"/>
              </w:rPr>
            </w:pPr>
            <w:r>
              <w:rPr>
                <w:rFonts w:ascii="Arial" w:cs="Arial" w:eastAsia="Arial" w:hAnsi="Arial"/>
                <w:sz w:val="18"/>
                <w:szCs w:val="18"/>
                <w:b w:val="1"/>
                <w:bCs w:val="1"/>
                <w:color w:val="auto"/>
                <w:w w:val="99"/>
              </w:rPr>
              <w:t>11605 North Community House Road,</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3700" w:type="dxa"/>
            <w:vAlign w:val="bottom"/>
          </w:tcPr>
          <w:p>
            <w:pPr>
              <w:jc w:val="center"/>
              <w:ind w:right="342"/>
              <w:spacing w:after="0" w:line="202" w:lineRule="exact"/>
              <w:rPr>
                <w:sz w:val="20"/>
                <w:szCs w:val="20"/>
                <w:color w:val="auto"/>
              </w:rPr>
            </w:pPr>
            <w:r>
              <w:rPr>
                <w:rFonts w:ascii="Arial" w:cs="Arial" w:eastAsia="Arial" w:hAnsi="Arial"/>
                <w:sz w:val="18"/>
                <w:szCs w:val="18"/>
                <w:b w:val="1"/>
                <w:bCs w:val="1"/>
                <w:color w:val="auto"/>
              </w:rPr>
              <w:t>Suite 300</w:t>
            </w:r>
          </w:p>
        </w:tc>
        <w:tc>
          <w:tcPr>
            <w:tcW w:w="3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700" w:type="dxa"/>
            <w:vAlign w:val="bottom"/>
          </w:tcPr>
          <w:p>
            <w:pPr>
              <w:jc w:val="center"/>
              <w:ind w:right="362"/>
              <w:spacing w:after="0" w:line="203" w:lineRule="exact"/>
              <w:rPr>
                <w:sz w:val="20"/>
                <w:szCs w:val="20"/>
                <w:color w:val="auto"/>
              </w:rPr>
            </w:pPr>
            <w:r>
              <w:rPr>
                <w:rFonts w:ascii="Arial" w:cs="Arial" w:eastAsia="Arial" w:hAnsi="Arial"/>
                <w:sz w:val="18"/>
                <w:szCs w:val="18"/>
                <w:b w:val="1"/>
                <w:bCs w:val="1"/>
                <w:color w:val="auto"/>
                <w:w w:val="99"/>
              </w:rPr>
              <w:t>Charlotte, North Carolina</w:t>
            </w:r>
          </w:p>
        </w:tc>
        <w:tc>
          <w:tcPr>
            <w:tcW w:w="3040" w:type="dxa"/>
            <w:vAlign w:val="bottom"/>
          </w:tcPr>
          <w:p>
            <w:pPr>
              <w:spacing w:after="0"/>
              <w:rPr>
                <w:sz w:val="17"/>
                <w:szCs w:val="17"/>
                <w:color w:val="auto"/>
              </w:rPr>
            </w:pPr>
          </w:p>
        </w:tc>
        <w:tc>
          <w:tcPr>
            <w:tcW w:w="2060" w:type="dxa"/>
            <w:vAlign w:val="bottom"/>
          </w:tcPr>
          <w:p>
            <w:pPr>
              <w:jc w:val="right"/>
              <w:ind w:right="226"/>
              <w:spacing w:after="0" w:line="203" w:lineRule="exact"/>
              <w:rPr>
                <w:sz w:val="20"/>
                <w:szCs w:val="20"/>
                <w:color w:val="auto"/>
              </w:rPr>
            </w:pPr>
            <w:r>
              <w:rPr>
                <w:rFonts w:ascii="Arial" w:cs="Arial" w:eastAsia="Arial" w:hAnsi="Arial"/>
                <w:sz w:val="18"/>
                <w:szCs w:val="18"/>
                <w:b w:val="1"/>
                <w:bCs w:val="1"/>
                <w:color w:val="auto"/>
              </w:rPr>
              <w:t>28277</w:t>
            </w:r>
          </w:p>
        </w:tc>
      </w:tr>
      <w:tr>
        <w:trPr>
          <w:trHeight w:val="172"/>
        </w:trPr>
        <w:tc>
          <w:tcPr>
            <w:tcW w:w="3700" w:type="dxa"/>
            <w:vAlign w:val="bottom"/>
          </w:tcPr>
          <w:p>
            <w:pPr>
              <w:jc w:val="center"/>
              <w:ind w:right="34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4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(888) 440-4826</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234315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00" w:hanging="35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Symbol(s)</w:t>
            </w:r>
          </w:p>
        </w:tc>
        <w:tc>
          <w:tcPr>
            <w:tcW w:w="140" w:type="dxa"/>
            <w:vAlign w:val="bottom"/>
          </w:tcPr>
          <w:p>
            <w:pPr>
              <w:spacing w:after="0"/>
              <w:rPr>
                <w:sz w:val="19"/>
                <w:szCs w:val="19"/>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color w:val="auto"/>
              </w:rPr>
              <w:t>Class A Common Stock, par value $0.0001 per share</w:t>
            </w:r>
          </w:p>
        </w:tc>
        <w:tc>
          <w:tcPr>
            <w:tcW w:w="16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9"/>
              </w:rPr>
              <w:t>PAY</w:t>
            </w:r>
          </w:p>
        </w:tc>
        <w:tc>
          <w:tcPr>
            <w:tcW w:w="140" w:type="dxa"/>
            <w:vAlign w:val="bottom"/>
          </w:tcPr>
          <w:p>
            <w:pPr>
              <w:spacing w:after="0"/>
              <w:rPr>
                <w:sz w:val="15"/>
                <w:szCs w:val="15"/>
                <w:color w:val="auto"/>
              </w:rPr>
            </w:pPr>
          </w:p>
        </w:tc>
        <w:tc>
          <w:tcPr>
            <w:tcW w:w="50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9"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8"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320" w:lineRule="exact"/>
        <w:rPr>
          <w:sz w:val="20"/>
          <w:szCs w:val="20"/>
          <w:color w:val="auto"/>
        </w:rPr>
      </w:pPr>
    </w:p>
    <w:p>
      <w:pPr>
        <w:ind w:right="40" w:firstLine="562"/>
        <w:spacing w:after="0" w:line="271" w:lineRule="auto"/>
        <w:rPr>
          <w:sz w:val="20"/>
          <w:szCs w:val="20"/>
          <w:color w:val="auto"/>
        </w:rPr>
      </w:pPr>
      <w:r>
        <w:rPr>
          <w:rFonts w:ascii="Arial" w:cs="Arial" w:eastAsia="Arial" w:hAnsi="Arial"/>
          <w:sz w:val="18"/>
          <w:szCs w:val="18"/>
          <w:color w:val="auto"/>
        </w:rPr>
        <w:t>On June 5, 2026, Paymentus Holdings, Inc. (the “Company”) held its 2026 Annual Meeting of Stockholders (the “Annual Meeting”). At the Annual Meeting, the stockholders:</w:t>
      </w:r>
    </w:p>
    <w:p>
      <w:pPr>
        <w:spacing w:after="0" w:line="181" w:lineRule="exact"/>
        <w:rPr>
          <w:sz w:val="20"/>
          <w:szCs w:val="20"/>
          <w:color w:val="auto"/>
        </w:rPr>
      </w:pPr>
    </w:p>
    <w:p>
      <w:pPr>
        <w:ind w:right="600" w:firstLine="570"/>
        <w:spacing w:after="0" w:line="271" w:lineRule="auto"/>
        <w:tabs>
          <w:tab w:leader="none" w:pos="961"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elected three Class II Directors nominated to serve on the Company’s Board of Directors until the 2029 annual meeting of stockholders and until their successors are duly elected and qualified or their earlier death, resignation or removal;</w:t>
      </w:r>
    </w:p>
    <w:p>
      <w:pPr>
        <w:spacing w:after="0" w:line="180" w:lineRule="exact"/>
        <w:rPr>
          <w:rFonts w:ascii="Arial" w:cs="Arial" w:eastAsia="Arial" w:hAnsi="Arial"/>
          <w:sz w:val="18"/>
          <w:szCs w:val="18"/>
          <w:color w:val="auto"/>
        </w:rPr>
      </w:pPr>
    </w:p>
    <w:p>
      <w:pPr>
        <w:ind w:right="220" w:firstLine="570"/>
        <w:spacing w:after="0" w:line="271" w:lineRule="auto"/>
        <w:tabs>
          <w:tab w:leader="none" w:pos="961"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ratified the appointment of PricewaterhouseCoopers LLP to serve as the Company’s independent registered public accounting firm for the Company’s fiscal year ending December 31, 2026;</w:t>
      </w:r>
    </w:p>
    <w:p>
      <w:pPr>
        <w:spacing w:after="0" w:line="167" w:lineRule="exact"/>
        <w:rPr>
          <w:rFonts w:ascii="Arial" w:cs="Arial" w:eastAsia="Arial" w:hAnsi="Arial"/>
          <w:sz w:val="18"/>
          <w:szCs w:val="18"/>
          <w:color w:val="auto"/>
        </w:rPr>
      </w:pPr>
    </w:p>
    <w:p>
      <w:pPr>
        <w:ind w:right="380" w:firstLine="570"/>
        <w:spacing w:after="0" w:line="253" w:lineRule="auto"/>
        <w:tabs>
          <w:tab w:leader="none" w:pos="961"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on an advisory basis, the compensation of the Company’s named executive officers, as disclosed in the proxy statement for the Annual Meeting (the “Proxy Statement”) pursuant to the compensation disclosure rules of the Securities and Exchange Commission (“SEC”); and</w:t>
      </w:r>
    </w:p>
    <w:p>
      <w:pPr>
        <w:spacing w:after="0" w:line="195" w:lineRule="exact"/>
        <w:rPr>
          <w:rFonts w:ascii="Arial" w:cs="Arial" w:eastAsia="Arial" w:hAnsi="Arial"/>
          <w:sz w:val="18"/>
          <w:szCs w:val="18"/>
          <w:color w:val="auto"/>
        </w:rPr>
      </w:pPr>
    </w:p>
    <w:p>
      <w:pPr>
        <w:ind w:right="140" w:firstLine="570"/>
        <w:spacing w:after="0" w:line="271" w:lineRule="auto"/>
        <w:tabs>
          <w:tab w:leader="none" w:pos="961"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on an advisory basis, every “one year” for the frequency with which stockholders will be provided future “say-on-pay” advisory votes on executive compensation.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more complete description of each item is set forth in the Proxy Statement.</w:t>
      </w:r>
    </w:p>
    <w:p>
      <w:pPr>
        <w:spacing w:after="0" w:line="225"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color w:val="auto"/>
        </w:rPr>
        <w:t>As of the record date for the Annual Meeting, there were 62,936,502 shares of the Company’s Class A common stock and 62,852,835 shares of the Company’s Class B common stock issued and outstanding. Each share of Class A common stock was entitled to one vote on each matter properly brought before the Annual Meeting, and each share of Class B common stock was entitled to ten votes on each matter properly brought before the Annual Meeting. The Class A common stock and Class B common stock voted together as a single class. Votes representing approximately 97% of the combined voting power of the Class A common stock and Class B common stock, as of the record date, were present in person or represented by proxy at the Annual Meeting.</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final voting results for the Annual Meeting were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1—Election of Directors</w:t>
      </w:r>
    </w:p>
    <w:p>
      <w:pPr>
        <w:spacing w:after="0" w:line="225" w:lineRule="exact"/>
        <w:rPr>
          <w:sz w:val="20"/>
          <w:szCs w:val="20"/>
          <w:color w:val="auto"/>
        </w:rPr>
      </w:pPr>
    </w:p>
    <w:p>
      <w:pPr>
        <w:ind w:right="160" w:firstLine="562"/>
        <w:spacing w:after="0" w:line="271" w:lineRule="auto"/>
        <w:rPr>
          <w:sz w:val="20"/>
          <w:szCs w:val="20"/>
          <w:color w:val="auto"/>
        </w:rPr>
      </w:pPr>
      <w:r>
        <w:rPr>
          <w:rFonts w:ascii="Arial" w:cs="Arial" w:eastAsia="Arial" w:hAnsi="Arial"/>
          <w:sz w:val="18"/>
          <w:szCs w:val="18"/>
          <w:color w:val="auto"/>
        </w:rPr>
        <w:t>Each of the three nominees named in the Proxy Statement was elected by the stockholders to the Company’s Board of Directors for three-year terms based on the following vote: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Nominee</w:t>
            </w:r>
          </w:p>
        </w:tc>
        <w:tc>
          <w:tcPr>
            <w:tcW w:w="600" w:type="dxa"/>
            <w:vAlign w:val="bottom"/>
          </w:tcPr>
          <w:p>
            <w:pPr>
              <w:spacing w:after="0"/>
              <w:rPr>
                <w:sz w:val="20"/>
                <w:szCs w:val="20"/>
                <w:color w:val="auto"/>
              </w:rPr>
            </w:pPr>
          </w:p>
        </w:tc>
        <w:tc>
          <w:tcPr>
            <w:tcW w:w="1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Votes For</w:t>
            </w:r>
          </w:p>
        </w:tc>
        <w:tc>
          <w:tcPr>
            <w:tcW w:w="600" w:type="dxa"/>
            <w:vAlign w:val="bottom"/>
          </w:tcPr>
          <w:p>
            <w:pPr>
              <w:spacing w:after="0"/>
              <w:rPr>
                <w:sz w:val="20"/>
                <w:szCs w:val="20"/>
                <w:color w:val="auto"/>
              </w:rPr>
            </w:pP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Votes Withheld</w:t>
            </w:r>
          </w:p>
        </w:tc>
        <w:tc>
          <w:tcPr>
            <w:tcW w:w="600" w:type="dxa"/>
            <w:vAlign w:val="bottom"/>
          </w:tcPr>
          <w:p>
            <w:pPr>
              <w:spacing w:after="0"/>
              <w:rPr>
                <w:sz w:val="20"/>
                <w:szCs w:val="20"/>
                <w:color w:val="auto"/>
              </w:rPr>
            </w:pPr>
          </w:p>
        </w:tc>
        <w:tc>
          <w:tcPr>
            <w:tcW w:w="24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Broker Non-Votes</w:t>
            </w:r>
          </w:p>
        </w:tc>
      </w:tr>
      <w:tr>
        <w:trPr>
          <w:trHeight w:val="204"/>
        </w:trPr>
        <w:tc>
          <w:tcPr>
            <w:tcW w:w="2320" w:type="dxa"/>
            <w:vAlign w:val="bottom"/>
          </w:tcPr>
          <w:p>
            <w:pPr>
              <w:ind w:left="120"/>
              <w:spacing w:after="0" w:line="204" w:lineRule="exact"/>
              <w:rPr>
                <w:sz w:val="20"/>
                <w:szCs w:val="20"/>
                <w:color w:val="auto"/>
              </w:rPr>
            </w:pPr>
            <w:r>
              <w:rPr>
                <w:rFonts w:ascii="Arial" w:cs="Arial" w:eastAsia="Arial" w:hAnsi="Arial"/>
                <w:sz w:val="18"/>
                <w:szCs w:val="18"/>
                <w:color w:val="auto"/>
              </w:rPr>
              <w:t>Jody Davids</w:t>
            </w:r>
          </w:p>
        </w:tc>
        <w:tc>
          <w:tcPr>
            <w:tcW w:w="600" w:type="dxa"/>
            <w:vAlign w:val="bottom"/>
          </w:tcPr>
          <w:p>
            <w:pPr>
              <w:spacing w:after="0"/>
              <w:rPr>
                <w:sz w:val="17"/>
                <w:szCs w:val="17"/>
                <w:color w:val="auto"/>
              </w:rPr>
            </w:pPr>
          </w:p>
        </w:tc>
        <w:tc>
          <w:tcPr>
            <w:tcW w:w="1960" w:type="dxa"/>
            <w:vAlign w:val="bottom"/>
          </w:tcPr>
          <w:p>
            <w:pPr>
              <w:ind w:left="100"/>
              <w:spacing w:after="0" w:line="204" w:lineRule="exact"/>
              <w:rPr>
                <w:sz w:val="20"/>
                <w:szCs w:val="20"/>
                <w:color w:val="auto"/>
              </w:rPr>
            </w:pPr>
            <w:r>
              <w:rPr>
                <w:rFonts w:ascii="Arial" w:cs="Arial" w:eastAsia="Arial" w:hAnsi="Arial"/>
                <w:sz w:val="18"/>
                <w:szCs w:val="18"/>
                <w:color w:val="auto"/>
              </w:rPr>
              <w:t>651,204,104</w:t>
            </w:r>
          </w:p>
        </w:tc>
        <w:tc>
          <w:tcPr>
            <w:tcW w:w="600" w:type="dxa"/>
            <w:vAlign w:val="bottom"/>
          </w:tcPr>
          <w:p>
            <w:pPr>
              <w:spacing w:after="0"/>
              <w:rPr>
                <w:sz w:val="17"/>
                <w:szCs w:val="17"/>
                <w:color w:val="auto"/>
              </w:rPr>
            </w:pPr>
          </w:p>
        </w:tc>
        <w:tc>
          <w:tcPr>
            <w:tcW w:w="2180" w:type="dxa"/>
            <w:vAlign w:val="bottom"/>
          </w:tcPr>
          <w:p>
            <w:pPr>
              <w:ind w:left="100"/>
              <w:spacing w:after="0" w:line="204" w:lineRule="exact"/>
              <w:rPr>
                <w:sz w:val="20"/>
                <w:szCs w:val="20"/>
                <w:color w:val="auto"/>
              </w:rPr>
            </w:pPr>
            <w:r>
              <w:rPr>
                <w:rFonts w:ascii="Arial" w:cs="Arial" w:eastAsia="Arial" w:hAnsi="Arial"/>
                <w:sz w:val="18"/>
                <w:szCs w:val="18"/>
                <w:color w:val="auto"/>
              </w:rPr>
              <w:t>9,379,553</w:t>
            </w:r>
          </w:p>
        </w:tc>
        <w:tc>
          <w:tcPr>
            <w:tcW w:w="600" w:type="dxa"/>
            <w:vAlign w:val="bottom"/>
          </w:tcPr>
          <w:p>
            <w:pPr>
              <w:spacing w:after="0"/>
              <w:rPr>
                <w:sz w:val="17"/>
                <w:szCs w:val="17"/>
                <w:color w:val="auto"/>
              </w:rPr>
            </w:pPr>
          </w:p>
        </w:tc>
        <w:tc>
          <w:tcPr>
            <w:tcW w:w="2420" w:type="dxa"/>
            <w:vAlign w:val="bottom"/>
          </w:tcPr>
          <w:p>
            <w:pPr>
              <w:ind w:left="120"/>
              <w:spacing w:after="0" w:line="204" w:lineRule="exact"/>
              <w:rPr>
                <w:sz w:val="20"/>
                <w:szCs w:val="20"/>
                <w:color w:val="auto"/>
              </w:rPr>
            </w:pPr>
            <w:r>
              <w:rPr>
                <w:rFonts w:ascii="Arial" w:cs="Arial" w:eastAsia="Arial" w:hAnsi="Arial"/>
                <w:sz w:val="18"/>
                <w:szCs w:val="18"/>
                <w:color w:val="auto"/>
              </w:rPr>
              <w:t>8,121,639</w:t>
            </w:r>
          </w:p>
        </w:tc>
      </w:tr>
      <w:tr>
        <w:trPr>
          <w:trHeight w:val="216"/>
        </w:trPr>
        <w:tc>
          <w:tcPr>
            <w:tcW w:w="2320" w:type="dxa"/>
            <w:vAlign w:val="bottom"/>
          </w:tcPr>
          <w:p>
            <w:pPr>
              <w:ind w:left="120"/>
              <w:spacing w:after="0"/>
              <w:rPr>
                <w:sz w:val="20"/>
                <w:szCs w:val="20"/>
                <w:color w:val="auto"/>
              </w:rPr>
            </w:pPr>
            <w:r>
              <w:rPr>
                <w:rFonts w:ascii="Arial" w:cs="Arial" w:eastAsia="Arial" w:hAnsi="Arial"/>
                <w:sz w:val="18"/>
                <w:szCs w:val="18"/>
                <w:color w:val="auto"/>
              </w:rPr>
              <w:t>Adam Malinowski</w:t>
            </w:r>
          </w:p>
        </w:tc>
        <w:tc>
          <w:tcPr>
            <w:tcW w:w="2560" w:type="dxa"/>
            <w:vAlign w:val="bottom"/>
            <w:gridSpan w:val="2"/>
          </w:tcPr>
          <w:p>
            <w:pPr>
              <w:ind w:left="700"/>
              <w:spacing w:after="0"/>
              <w:rPr>
                <w:sz w:val="20"/>
                <w:szCs w:val="20"/>
                <w:color w:val="auto"/>
              </w:rPr>
            </w:pPr>
            <w:r>
              <w:rPr>
                <w:rFonts w:ascii="Arial" w:cs="Arial" w:eastAsia="Arial" w:hAnsi="Arial"/>
                <w:sz w:val="18"/>
                <w:szCs w:val="18"/>
                <w:color w:val="auto"/>
              </w:rPr>
              <w:t>649,273,539</w:t>
            </w:r>
          </w:p>
        </w:tc>
        <w:tc>
          <w:tcPr>
            <w:tcW w:w="2780" w:type="dxa"/>
            <w:vAlign w:val="bottom"/>
            <w:gridSpan w:val="2"/>
          </w:tcPr>
          <w:p>
            <w:pPr>
              <w:ind w:left="700"/>
              <w:spacing w:after="0"/>
              <w:rPr>
                <w:sz w:val="20"/>
                <w:szCs w:val="20"/>
                <w:color w:val="auto"/>
              </w:rPr>
            </w:pPr>
            <w:r>
              <w:rPr>
                <w:rFonts w:ascii="Arial" w:cs="Arial" w:eastAsia="Arial" w:hAnsi="Arial"/>
                <w:sz w:val="18"/>
                <w:szCs w:val="18"/>
                <w:color w:val="auto"/>
              </w:rPr>
              <w:t>11,310,118</w:t>
            </w: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8,121,639</w:t>
            </w:r>
          </w:p>
        </w:tc>
      </w:tr>
      <w:tr>
        <w:trPr>
          <w:trHeight w:val="239"/>
        </w:trPr>
        <w:tc>
          <w:tcPr>
            <w:tcW w:w="2320" w:type="dxa"/>
            <w:vAlign w:val="bottom"/>
          </w:tcPr>
          <w:p>
            <w:pPr>
              <w:ind w:left="120"/>
              <w:spacing w:after="0"/>
              <w:rPr>
                <w:sz w:val="20"/>
                <w:szCs w:val="20"/>
                <w:color w:val="auto"/>
              </w:rPr>
            </w:pPr>
            <w:r>
              <w:rPr>
                <w:rFonts w:ascii="Arial" w:cs="Arial" w:eastAsia="Arial" w:hAnsi="Arial"/>
                <w:sz w:val="18"/>
                <w:szCs w:val="18"/>
                <w:color w:val="auto"/>
              </w:rPr>
              <w:t>Gary Trainor</w:t>
            </w:r>
          </w:p>
        </w:tc>
        <w:tc>
          <w:tcPr>
            <w:tcW w:w="2560" w:type="dxa"/>
            <w:vAlign w:val="bottom"/>
            <w:gridSpan w:val="2"/>
          </w:tcPr>
          <w:p>
            <w:pPr>
              <w:ind w:left="700"/>
              <w:spacing w:after="0"/>
              <w:rPr>
                <w:sz w:val="20"/>
                <w:szCs w:val="20"/>
                <w:color w:val="auto"/>
              </w:rPr>
            </w:pPr>
            <w:r>
              <w:rPr>
                <w:rFonts w:ascii="Arial" w:cs="Arial" w:eastAsia="Arial" w:hAnsi="Arial"/>
                <w:sz w:val="18"/>
                <w:szCs w:val="18"/>
                <w:color w:val="auto"/>
              </w:rPr>
              <w:t>645,710,319</w:t>
            </w:r>
          </w:p>
        </w:tc>
        <w:tc>
          <w:tcPr>
            <w:tcW w:w="2780" w:type="dxa"/>
            <w:vAlign w:val="bottom"/>
            <w:gridSpan w:val="2"/>
          </w:tcPr>
          <w:p>
            <w:pPr>
              <w:ind w:left="700"/>
              <w:spacing w:after="0"/>
              <w:rPr>
                <w:sz w:val="20"/>
                <w:szCs w:val="20"/>
                <w:color w:val="auto"/>
              </w:rPr>
            </w:pPr>
            <w:r>
              <w:rPr>
                <w:rFonts w:ascii="Arial" w:cs="Arial" w:eastAsia="Arial" w:hAnsi="Arial"/>
                <w:sz w:val="18"/>
                <w:szCs w:val="18"/>
                <w:color w:val="auto"/>
              </w:rPr>
              <w:t>14,873,338</w:t>
            </w: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8,121,639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2—Ratification of the Appointment of PricewaterhouseCoopers LLP</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appointment of PricewaterhouseCoopers LLP as the Company’s independent registered public accounting firm for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fiscal year ending December 31, 2026 was ratified by the stockholders based on the following vote: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Votes For</w:t>
            </w:r>
          </w:p>
        </w:tc>
        <w:tc>
          <w:tcPr>
            <w:tcW w:w="580" w:type="dxa"/>
            <w:vAlign w:val="bottom"/>
          </w:tcPr>
          <w:p>
            <w:pPr>
              <w:spacing w:after="0"/>
              <w:rPr>
                <w:sz w:val="19"/>
                <w:szCs w:val="19"/>
                <w:color w:val="auto"/>
              </w:rPr>
            </w:pPr>
          </w:p>
        </w:tc>
        <w:tc>
          <w:tcPr>
            <w:tcW w:w="22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Votes Against</w:t>
            </w:r>
          </w:p>
        </w:tc>
        <w:tc>
          <w:tcPr>
            <w:tcW w:w="580" w:type="dxa"/>
            <w:vAlign w:val="bottom"/>
          </w:tcPr>
          <w:p>
            <w:pPr>
              <w:spacing w:after="0"/>
              <w:rPr>
                <w:sz w:val="19"/>
                <w:szCs w:val="19"/>
                <w:color w:val="auto"/>
              </w:rPr>
            </w:pPr>
          </w:p>
        </w:tc>
        <w:tc>
          <w:tcPr>
            <w:tcW w:w="2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Votes Abstained</w:t>
            </w:r>
          </w:p>
        </w:tc>
        <w:tc>
          <w:tcPr>
            <w:tcW w:w="580" w:type="dxa"/>
            <w:vAlign w:val="bottom"/>
          </w:tcPr>
          <w:p>
            <w:pPr>
              <w:spacing w:after="0"/>
              <w:rPr>
                <w:sz w:val="19"/>
                <w:szCs w:val="19"/>
                <w:color w:val="auto"/>
              </w:rPr>
            </w:pPr>
          </w:p>
        </w:tc>
        <w:tc>
          <w:tcPr>
            <w:tcW w:w="23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Broker Non-Votes</w:t>
            </w:r>
          </w:p>
        </w:tc>
      </w:tr>
      <w:tr>
        <w:trPr>
          <w:trHeight w:val="240"/>
        </w:trPr>
        <w:tc>
          <w:tcPr>
            <w:tcW w:w="2220" w:type="dxa"/>
            <w:vAlign w:val="bottom"/>
          </w:tcPr>
          <w:p>
            <w:pPr>
              <w:ind w:left="120"/>
              <w:spacing w:after="0"/>
              <w:rPr>
                <w:sz w:val="20"/>
                <w:szCs w:val="20"/>
                <w:color w:val="auto"/>
              </w:rPr>
            </w:pPr>
            <w:r>
              <w:rPr>
                <w:rFonts w:ascii="Arial" w:cs="Arial" w:eastAsia="Arial" w:hAnsi="Arial"/>
                <w:sz w:val="18"/>
                <w:szCs w:val="18"/>
                <w:color w:val="auto"/>
              </w:rPr>
              <w:t>668,498,797</w:t>
            </w:r>
          </w:p>
        </w:tc>
        <w:tc>
          <w:tcPr>
            <w:tcW w:w="2780" w:type="dxa"/>
            <w:vAlign w:val="bottom"/>
            <w:gridSpan w:val="2"/>
          </w:tcPr>
          <w:p>
            <w:pPr>
              <w:jc w:val="right"/>
              <w:ind w:right="630"/>
              <w:spacing w:after="0"/>
              <w:rPr>
                <w:sz w:val="20"/>
                <w:szCs w:val="20"/>
                <w:color w:val="auto"/>
              </w:rPr>
            </w:pPr>
            <w:r>
              <w:rPr>
                <w:rFonts w:ascii="Arial" w:cs="Arial" w:eastAsia="Arial" w:hAnsi="Arial"/>
                <w:sz w:val="18"/>
                <w:szCs w:val="18"/>
                <w:color w:val="auto"/>
              </w:rPr>
              <w:t>100,921</w:t>
            </w:r>
          </w:p>
        </w:tc>
        <w:tc>
          <w:tcPr>
            <w:tcW w:w="2780" w:type="dxa"/>
            <w:vAlign w:val="bottom"/>
            <w:gridSpan w:val="2"/>
          </w:tcPr>
          <w:p>
            <w:pPr>
              <w:jc w:val="right"/>
              <w:ind w:right="630"/>
              <w:spacing w:after="0"/>
              <w:rPr>
                <w:sz w:val="20"/>
                <w:szCs w:val="20"/>
                <w:color w:val="auto"/>
              </w:rPr>
            </w:pPr>
            <w:r>
              <w:rPr>
                <w:rFonts w:ascii="Arial" w:cs="Arial" w:eastAsia="Arial" w:hAnsi="Arial"/>
                <w:sz w:val="18"/>
                <w:szCs w:val="18"/>
                <w:color w:val="auto"/>
              </w:rPr>
              <w:t>105,578</w:t>
            </w:r>
          </w:p>
        </w:tc>
        <w:tc>
          <w:tcPr>
            <w:tcW w:w="580" w:type="dxa"/>
            <w:vAlign w:val="bottom"/>
          </w:tcPr>
          <w:p>
            <w:pPr>
              <w:spacing w:after="0"/>
              <w:rPr>
                <w:sz w:val="20"/>
                <w:szCs w:val="20"/>
                <w:color w:val="auto"/>
              </w:rPr>
            </w:pPr>
          </w:p>
        </w:tc>
        <w:tc>
          <w:tcPr>
            <w:tcW w:w="2320" w:type="dxa"/>
            <w:vAlign w:val="bottom"/>
          </w:tcPr>
          <w:p>
            <w:pPr>
              <w:ind w:left="460"/>
              <w:spacing w:after="0"/>
              <w:rPr>
                <w:sz w:val="20"/>
                <w:szCs w:val="20"/>
                <w:color w:val="auto"/>
              </w:rPr>
            </w:pPr>
            <w:r>
              <w:rPr>
                <w:rFonts w:ascii="Arial" w:cs="Arial" w:eastAsia="Arial" w:hAnsi="Arial"/>
                <w:sz w:val="18"/>
                <w:szCs w:val="18"/>
                <w:color w:val="auto"/>
              </w:rPr>
              <w:t>N/A</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3—Advisory Vote on the Approval of the Compensation of the Company’s Named Executive Officers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stockholders approved, on an advisory basis, the compensation of the Company’s named executive officers as disclosed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pursuant to the compensation disclosure rules of the SEC, based on the following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1"/>
        </w:trPr>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58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Votes Against</w:t>
            </w:r>
          </w:p>
        </w:tc>
        <w:tc>
          <w:tcPr>
            <w:tcW w:w="58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Votes Abstained</w:t>
            </w:r>
          </w:p>
        </w:tc>
        <w:tc>
          <w:tcPr>
            <w:tcW w:w="580" w:type="dxa"/>
            <w:vAlign w:val="bottom"/>
          </w:tcPr>
          <w:p>
            <w:pPr>
              <w:spacing w:after="0"/>
              <w:rPr>
                <w:sz w:val="19"/>
                <w:szCs w:val="19"/>
                <w:color w:val="auto"/>
              </w:rPr>
            </w:pPr>
          </w:p>
        </w:tc>
        <w:tc>
          <w:tcPr>
            <w:tcW w:w="2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Broker Non-Votes</w:t>
            </w:r>
          </w:p>
        </w:tc>
      </w:tr>
      <w:tr>
        <w:trPr>
          <w:trHeight w:val="232"/>
        </w:trPr>
        <w:tc>
          <w:tcPr>
            <w:tcW w:w="2220" w:type="dxa"/>
            <w:vAlign w:val="bottom"/>
          </w:tcPr>
          <w:p>
            <w:pPr>
              <w:jc w:val="right"/>
              <w:ind w:right="510"/>
              <w:spacing w:after="0"/>
              <w:rPr>
                <w:sz w:val="20"/>
                <w:szCs w:val="20"/>
                <w:color w:val="auto"/>
              </w:rPr>
            </w:pPr>
            <w:r>
              <w:rPr>
                <w:rFonts w:ascii="Arial" w:cs="Arial" w:eastAsia="Arial" w:hAnsi="Arial"/>
                <w:sz w:val="18"/>
                <w:szCs w:val="18"/>
                <w:color w:val="auto"/>
              </w:rPr>
              <w:t>659,611,183</w:t>
            </w:r>
          </w:p>
        </w:tc>
        <w:tc>
          <w:tcPr>
            <w:tcW w:w="580" w:type="dxa"/>
            <w:vAlign w:val="bottom"/>
          </w:tcPr>
          <w:p>
            <w:pPr>
              <w:spacing w:after="0"/>
              <w:rPr>
                <w:sz w:val="20"/>
                <w:szCs w:val="20"/>
                <w:color w:val="auto"/>
              </w:rPr>
            </w:pPr>
          </w:p>
        </w:tc>
        <w:tc>
          <w:tcPr>
            <w:tcW w:w="2200" w:type="dxa"/>
            <w:vAlign w:val="bottom"/>
          </w:tcPr>
          <w:p>
            <w:pPr>
              <w:jc w:val="right"/>
              <w:ind w:right="690"/>
              <w:spacing w:after="0"/>
              <w:rPr>
                <w:sz w:val="20"/>
                <w:szCs w:val="20"/>
                <w:color w:val="auto"/>
              </w:rPr>
            </w:pPr>
            <w:r>
              <w:rPr>
                <w:rFonts w:ascii="Arial" w:cs="Arial" w:eastAsia="Arial" w:hAnsi="Arial"/>
                <w:sz w:val="18"/>
                <w:szCs w:val="18"/>
                <w:color w:val="auto"/>
              </w:rPr>
              <w:t>942,919</w:t>
            </w:r>
          </w:p>
        </w:tc>
        <w:tc>
          <w:tcPr>
            <w:tcW w:w="580" w:type="dxa"/>
            <w:vAlign w:val="bottom"/>
          </w:tcPr>
          <w:p>
            <w:pPr>
              <w:spacing w:after="0"/>
              <w:rPr>
                <w:sz w:val="20"/>
                <w:szCs w:val="20"/>
                <w:color w:val="auto"/>
              </w:rPr>
            </w:pPr>
          </w:p>
        </w:tc>
        <w:tc>
          <w:tcPr>
            <w:tcW w:w="2200" w:type="dxa"/>
            <w:vAlign w:val="bottom"/>
          </w:tcPr>
          <w:p>
            <w:pPr>
              <w:jc w:val="right"/>
              <w:ind w:right="730"/>
              <w:spacing w:after="0"/>
              <w:rPr>
                <w:sz w:val="20"/>
                <w:szCs w:val="20"/>
                <w:color w:val="auto"/>
              </w:rPr>
            </w:pPr>
            <w:r>
              <w:rPr>
                <w:rFonts w:ascii="Arial" w:cs="Arial" w:eastAsia="Arial" w:hAnsi="Arial"/>
                <w:sz w:val="18"/>
                <w:szCs w:val="18"/>
                <w:color w:val="auto"/>
              </w:rPr>
              <w:t>29,555</w:t>
            </w:r>
          </w:p>
        </w:tc>
        <w:tc>
          <w:tcPr>
            <w:tcW w:w="580" w:type="dxa"/>
            <w:vAlign w:val="bottom"/>
          </w:tcPr>
          <w:p>
            <w:pPr>
              <w:spacing w:after="0"/>
              <w:rPr>
                <w:sz w:val="20"/>
                <w:szCs w:val="20"/>
                <w:color w:val="auto"/>
              </w:rPr>
            </w:pPr>
          </w:p>
        </w:tc>
        <w:tc>
          <w:tcPr>
            <w:tcW w:w="2320" w:type="dxa"/>
            <w:vAlign w:val="bottom"/>
          </w:tcPr>
          <w:p>
            <w:pPr>
              <w:jc w:val="right"/>
              <w:ind w:right="1310"/>
              <w:spacing w:after="0"/>
              <w:rPr>
                <w:sz w:val="20"/>
                <w:szCs w:val="20"/>
                <w:color w:val="auto"/>
              </w:rPr>
            </w:pPr>
            <w:r>
              <w:rPr>
                <w:rFonts w:ascii="Arial" w:cs="Arial" w:eastAsia="Arial" w:hAnsi="Arial"/>
                <w:sz w:val="18"/>
                <w:szCs w:val="18"/>
                <w:color w:val="auto"/>
              </w:rPr>
              <w:t>8,121,639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Advisory Vote on the Frequency of Future Advisory Votes on Executive Compensation</w:t>
      </w:r>
    </w:p>
    <w:p>
      <w:pPr>
        <w:spacing w:after="0" w:line="19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stockholders chose, on an advisory basis, every “One Year” as the frequency with which stockholders will be provided future “say-on-pay” advisory votes on executive compensation: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One Year</w:t>
            </w:r>
          </w:p>
        </w:tc>
        <w:tc>
          <w:tcPr>
            <w:tcW w:w="3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Two Years</w:t>
            </w:r>
          </w:p>
        </w:tc>
        <w:tc>
          <w:tcPr>
            <w:tcW w:w="3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Three Years</w:t>
            </w:r>
          </w:p>
        </w:tc>
        <w:tc>
          <w:tcPr>
            <w:tcW w:w="36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Votes Abstained</w:t>
            </w:r>
          </w:p>
        </w:tc>
        <w:tc>
          <w:tcPr>
            <w:tcW w:w="300" w:type="dxa"/>
            <w:vAlign w:val="bottom"/>
          </w:tcPr>
          <w:p>
            <w:pPr>
              <w:spacing w:after="0"/>
              <w:rPr>
                <w:sz w:val="19"/>
                <w:szCs w:val="19"/>
                <w:color w:val="auto"/>
              </w:rPr>
            </w:pPr>
          </w:p>
        </w:tc>
        <w:tc>
          <w:tcPr>
            <w:tcW w:w="2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Broker Non-Votes</w:t>
            </w:r>
          </w:p>
        </w:tc>
      </w:tr>
      <w:tr>
        <w:trPr>
          <w:trHeight w:val="232"/>
        </w:trPr>
        <w:tc>
          <w:tcPr>
            <w:tcW w:w="1780" w:type="dxa"/>
            <w:vAlign w:val="bottom"/>
          </w:tcPr>
          <w:p>
            <w:pPr>
              <w:jc w:val="right"/>
              <w:ind w:right="290"/>
              <w:spacing w:after="0"/>
              <w:rPr>
                <w:sz w:val="20"/>
                <w:szCs w:val="20"/>
                <w:color w:val="auto"/>
              </w:rPr>
            </w:pPr>
            <w:r>
              <w:rPr>
                <w:rFonts w:ascii="Arial" w:cs="Arial" w:eastAsia="Arial" w:hAnsi="Arial"/>
                <w:sz w:val="18"/>
                <w:szCs w:val="18"/>
                <w:color w:val="auto"/>
              </w:rPr>
              <w:t>659,717,563</w:t>
            </w:r>
          </w:p>
        </w:tc>
        <w:tc>
          <w:tcPr>
            <w:tcW w:w="300" w:type="dxa"/>
            <w:vAlign w:val="bottom"/>
          </w:tcPr>
          <w:p>
            <w:pPr>
              <w:spacing w:after="0"/>
              <w:rPr>
                <w:sz w:val="20"/>
                <w:szCs w:val="20"/>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5,003</w:t>
            </w:r>
          </w:p>
        </w:tc>
        <w:tc>
          <w:tcPr>
            <w:tcW w:w="300" w:type="dxa"/>
            <w:vAlign w:val="bottom"/>
          </w:tcPr>
          <w:p>
            <w:pPr>
              <w:spacing w:after="0"/>
              <w:rPr>
                <w:sz w:val="20"/>
                <w:szCs w:val="20"/>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844,276</w:t>
            </w:r>
          </w:p>
        </w:tc>
        <w:tc>
          <w:tcPr>
            <w:tcW w:w="360" w:type="dxa"/>
            <w:vAlign w:val="bottom"/>
          </w:tcPr>
          <w:p>
            <w:pPr>
              <w:spacing w:after="0"/>
              <w:rPr>
                <w:sz w:val="20"/>
                <w:szCs w:val="20"/>
                <w:color w:val="auto"/>
              </w:rPr>
            </w:pPr>
          </w:p>
        </w:tc>
        <w:tc>
          <w:tcPr>
            <w:tcW w:w="1940" w:type="dxa"/>
            <w:vAlign w:val="bottom"/>
          </w:tcPr>
          <w:p>
            <w:pPr>
              <w:jc w:val="right"/>
              <w:ind w:right="590"/>
              <w:spacing w:after="0"/>
              <w:rPr>
                <w:sz w:val="20"/>
                <w:szCs w:val="20"/>
                <w:color w:val="auto"/>
              </w:rPr>
            </w:pPr>
            <w:r>
              <w:rPr>
                <w:rFonts w:ascii="Arial" w:cs="Arial" w:eastAsia="Arial" w:hAnsi="Arial"/>
                <w:sz w:val="18"/>
                <w:szCs w:val="18"/>
                <w:color w:val="auto"/>
              </w:rPr>
              <w:t>16,815</w:t>
            </w:r>
          </w:p>
        </w:tc>
        <w:tc>
          <w:tcPr>
            <w:tcW w:w="300" w:type="dxa"/>
            <w:vAlign w:val="bottom"/>
          </w:tcPr>
          <w:p>
            <w:pPr>
              <w:spacing w:after="0"/>
              <w:rPr>
                <w:sz w:val="20"/>
                <w:szCs w:val="20"/>
                <w:color w:val="auto"/>
              </w:rPr>
            </w:pPr>
          </w:p>
        </w:tc>
        <w:tc>
          <w:tcPr>
            <w:tcW w:w="2760" w:type="dxa"/>
            <w:vAlign w:val="bottom"/>
          </w:tcPr>
          <w:p>
            <w:pPr>
              <w:jc w:val="right"/>
              <w:ind w:right="1730"/>
              <w:spacing w:after="0"/>
              <w:rPr>
                <w:sz w:val="20"/>
                <w:szCs w:val="20"/>
                <w:color w:val="auto"/>
              </w:rPr>
            </w:pPr>
            <w:r>
              <w:rPr>
                <w:rFonts w:ascii="Arial" w:cs="Arial" w:eastAsia="Arial" w:hAnsi="Arial"/>
                <w:sz w:val="18"/>
                <w:szCs w:val="18"/>
                <w:color w:val="auto"/>
              </w:rPr>
              <w:t>8,121,639</w:t>
            </w:r>
          </w:p>
        </w:tc>
      </w:tr>
    </w:tbl>
    <w:p>
      <w:pPr>
        <w:spacing w:after="0" w:line="17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PAYMENTUS HOLDINGS, INC.</w:t>
      </w:r>
    </w:p>
    <w:p>
      <w:pPr>
        <w:spacing w:after="0" w:line="347" w:lineRule="exact"/>
        <w:rPr>
          <w:sz w:val="20"/>
          <w:szCs w:val="20"/>
          <w:color w:val="auto"/>
        </w:rPr>
      </w:pPr>
    </w:p>
    <w:p>
      <w:pPr>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tab/>
        <w:t>June 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Dushyant Sharma</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2026-06-08T15:33:14Z</dcterms:created>
  <dcterms:modified xsi:type="dcterms:W3CDTF">2026-06-08T15:33:14Z</dcterms:modified>
</cp:coreProperties>
</file>